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</w:p>
    <w:p w:rsid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48200" cy="141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</w:p>
    <w:p w:rsidR="009F6D1C" w:rsidRP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  <w:r w:rsidRPr="009F6D1C">
        <w:rPr>
          <w:rFonts w:eastAsia="Times New Roman"/>
          <w:b/>
          <w:lang w:eastAsia="ru-RU"/>
        </w:rPr>
        <w:t>Служба по связям с общественностью и работе со СМИ</w:t>
      </w:r>
    </w:p>
    <w:p w:rsidR="009F6D1C" w:rsidRP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  <w:r w:rsidRPr="009F6D1C">
        <w:rPr>
          <w:rFonts w:eastAsia="Times New Roman"/>
          <w:b/>
          <w:lang w:eastAsia="ru-RU"/>
        </w:rPr>
        <w:t>Тел.: (3462)77-77-77 (доб.16-838)</w:t>
      </w:r>
    </w:p>
    <w:p w:rsidR="009F6D1C" w:rsidRP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  <w:r w:rsidRPr="009F6D1C">
        <w:rPr>
          <w:rFonts w:eastAsia="Times New Roman"/>
          <w:b/>
          <w:lang w:eastAsia="ru-RU"/>
        </w:rPr>
        <w:t>Факс: (3462)77-77-77 (доб.12-026)</w:t>
      </w:r>
    </w:p>
    <w:p w:rsidR="009F6D1C" w:rsidRPr="0090586E" w:rsidRDefault="006D6240" w:rsidP="009F6D1C">
      <w:pPr>
        <w:spacing w:line="240" w:lineRule="auto"/>
        <w:textAlignment w:val="baseline"/>
        <w:outlineLvl w:val="0"/>
        <w:rPr>
          <w:rFonts w:eastAsia="Times New Roman"/>
          <w:b/>
          <w:lang w:eastAsia="ru-RU"/>
        </w:rPr>
      </w:pPr>
      <w:hyperlink r:id="rId6" w:history="1">
        <w:r w:rsidR="009F6D1C" w:rsidRPr="00827142">
          <w:rPr>
            <w:rStyle w:val="af6"/>
            <w:rFonts w:eastAsia="Times New Roman"/>
            <w:b/>
            <w:lang w:val="en-US" w:eastAsia="ru-RU"/>
          </w:rPr>
          <w:t>www</w:t>
        </w:r>
        <w:r w:rsidR="009F6D1C" w:rsidRPr="00827142">
          <w:rPr>
            <w:rStyle w:val="af6"/>
            <w:rFonts w:eastAsia="Times New Roman"/>
            <w:b/>
            <w:lang w:eastAsia="ru-RU"/>
          </w:rPr>
          <w:t>.</w:t>
        </w:r>
        <w:r w:rsidR="009F6D1C" w:rsidRPr="00827142">
          <w:rPr>
            <w:rStyle w:val="af6"/>
            <w:rFonts w:eastAsia="Times New Roman"/>
            <w:b/>
            <w:lang w:val="en-US" w:eastAsia="ru-RU"/>
          </w:rPr>
          <w:t>tmesk</w:t>
        </w:r>
        <w:r w:rsidR="009F6D1C" w:rsidRPr="00827142">
          <w:rPr>
            <w:rStyle w:val="af6"/>
            <w:rFonts w:eastAsia="Times New Roman"/>
            <w:b/>
            <w:lang w:eastAsia="ru-RU"/>
          </w:rPr>
          <w:t>.</w:t>
        </w:r>
        <w:r w:rsidR="009F6D1C" w:rsidRPr="00827142">
          <w:rPr>
            <w:rStyle w:val="af6"/>
            <w:rFonts w:eastAsia="Times New Roman"/>
            <w:b/>
            <w:lang w:val="en-US" w:eastAsia="ru-RU"/>
          </w:rPr>
          <w:t>ru</w:t>
        </w:r>
      </w:hyperlink>
    </w:p>
    <w:p w:rsidR="009F6D1C" w:rsidRPr="009F6D1C" w:rsidRDefault="009F6D1C" w:rsidP="009F6D1C">
      <w:pPr>
        <w:spacing w:line="240" w:lineRule="auto"/>
        <w:textAlignment w:val="baseline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</w:p>
    <w:p w:rsidR="009F6D1C" w:rsidRPr="006D6240" w:rsidRDefault="006D6240" w:rsidP="009F6D1C">
      <w:pPr>
        <w:spacing w:line="240" w:lineRule="auto"/>
        <w:textAlignment w:val="baseline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>
        <w:rPr>
          <w:rFonts w:eastAsia="Times New Roman"/>
          <w:b/>
          <w:bCs/>
          <w:color w:val="000000"/>
          <w:kern w:val="36"/>
          <w:lang w:eastAsia="ru-RU"/>
        </w:rPr>
        <w:t>26.01.2017 г.</w:t>
      </w:r>
      <w:bookmarkStart w:id="0" w:name="_GoBack"/>
      <w:bookmarkEnd w:id="0"/>
    </w:p>
    <w:p w:rsidR="009F6D1C" w:rsidRPr="009F6D1C" w:rsidRDefault="009F6D1C" w:rsidP="009F6D1C">
      <w:pPr>
        <w:spacing w:line="240" w:lineRule="auto"/>
        <w:textAlignment w:val="baseline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</w:p>
    <w:p w:rsidR="009F6D1C" w:rsidRPr="008715FC" w:rsidRDefault="009F6D1C" w:rsidP="009F6D1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eastAsia="Times New Roman"/>
          <w:b/>
          <w:color w:val="000000"/>
          <w:lang w:eastAsia="ru-RU"/>
        </w:rPr>
      </w:pPr>
      <w:r w:rsidRPr="009F6D1C">
        <w:rPr>
          <w:rFonts w:eastAsia="Times New Roman"/>
          <w:b/>
          <w:color w:val="000000"/>
          <w:lang w:eastAsia="ru-RU"/>
        </w:rPr>
        <w:t>Пресс-релиз</w:t>
      </w:r>
    </w:p>
    <w:p w:rsidR="006D6240" w:rsidRDefault="006D6240" w:rsidP="006D6240">
      <w:pPr>
        <w:jc w:val="center"/>
        <w:rPr>
          <w:b/>
        </w:rPr>
      </w:pPr>
      <w:r w:rsidRPr="00BB05B1">
        <w:rPr>
          <w:b/>
        </w:rPr>
        <w:t>Повышающий коэффициент к нормативам</w:t>
      </w:r>
    </w:p>
    <w:p w:rsidR="006D6240" w:rsidRPr="00BB05B1" w:rsidRDefault="006D6240" w:rsidP="006D6240">
      <w:pPr>
        <w:jc w:val="center"/>
        <w:rPr>
          <w:b/>
        </w:rPr>
      </w:pPr>
      <w:r w:rsidRPr="00BB05B1">
        <w:rPr>
          <w:b/>
        </w:rPr>
        <w:t xml:space="preserve"> потребления электроэнергии </w:t>
      </w:r>
      <w:proofErr w:type="gramStart"/>
      <w:r w:rsidRPr="00BB05B1">
        <w:rPr>
          <w:b/>
        </w:rPr>
        <w:t>увеличен</w:t>
      </w:r>
      <w:proofErr w:type="gramEnd"/>
      <w:r w:rsidRPr="00BB05B1">
        <w:rPr>
          <w:b/>
        </w:rPr>
        <w:t xml:space="preserve"> до 1,5</w:t>
      </w:r>
    </w:p>
    <w:p w:rsidR="006D6240" w:rsidRDefault="006D6240" w:rsidP="006D6240">
      <w:pPr>
        <w:jc w:val="both"/>
      </w:pPr>
    </w:p>
    <w:p w:rsidR="006D6240" w:rsidRDefault="006D6240" w:rsidP="006D6240">
      <w:pPr>
        <w:jc w:val="both"/>
      </w:pPr>
      <w:r>
        <w:t>С 1 января 2017 года при расчетах за электроэнергию по нормативам потребления применяется повышающий коэффициент 1,5.</w:t>
      </w:r>
    </w:p>
    <w:p w:rsidR="006D6240" w:rsidRDefault="006D6240" w:rsidP="006D6240">
      <w:pPr>
        <w:jc w:val="both"/>
      </w:pPr>
    </w:p>
    <w:p w:rsidR="006D6240" w:rsidRDefault="006D6240" w:rsidP="006D6240">
      <w:pPr>
        <w:jc w:val="both"/>
      </w:pPr>
      <w:r>
        <w:t xml:space="preserve">Напомним, согласно </w:t>
      </w:r>
      <w:r w:rsidRPr="00FC5C1C">
        <w:t>Постановлени</w:t>
      </w:r>
      <w:r>
        <w:t>ю</w:t>
      </w:r>
      <w:r w:rsidRPr="00FC5C1C">
        <w:t xml:space="preserve"> Правительства Р</w:t>
      </w:r>
      <w:r>
        <w:t xml:space="preserve">Ф </w:t>
      </w:r>
      <w:r w:rsidRPr="00FC5C1C">
        <w:t>от 29.06.2016 года № 603 «О внесении изменений в некоторые акты Правительства Р</w:t>
      </w:r>
      <w:r>
        <w:t>Ф</w:t>
      </w:r>
      <w:r w:rsidRPr="00FC5C1C">
        <w:t xml:space="preserve"> по вопросам  предоставления коммунальных услуг» с  1 июля по 31 декабря 2016</w:t>
      </w:r>
      <w:r>
        <w:t xml:space="preserve"> </w:t>
      </w:r>
      <w:r w:rsidRPr="00FC5C1C">
        <w:t>года повышающий коэффициент составля</w:t>
      </w:r>
      <w:r>
        <w:t xml:space="preserve">л </w:t>
      </w:r>
      <w:r w:rsidRPr="00FC5C1C">
        <w:t xml:space="preserve">1,4, </w:t>
      </w:r>
      <w:r>
        <w:t xml:space="preserve">а </w:t>
      </w:r>
      <w:r w:rsidRPr="00FC5C1C">
        <w:t xml:space="preserve">с 1 января 2017 года </w:t>
      </w:r>
      <w:r>
        <w:t>– вырос до</w:t>
      </w:r>
      <w:r w:rsidRPr="00FC5C1C">
        <w:t xml:space="preserve"> 1,5.</w:t>
      </w:r>
      <w:r>
        <w:t xml:space="preserve"> </w:t>
      </w:r>
    </w:p>
    <w:p w:rsidR="006D6240" w:rsidRDefault="006D6240" w:rsidP="006D6240">
      <w:pPr>
        <w:jc w:val="both"/>
      </w:pPr>
    </w:p>
    <w:p w:rsidR="006D6240" w:rsidRDefault="006D6240" w:rsidP="006D6240">
      <w:pPr>
        <w:jc w:val="both"/>
      </w:pPr>
      <w:r>
        <w:t xml:space="preserve">Повышающий коэффициент будет применяться </w:t>
      </w:r>
      <w:r w:rsidRPr="00FC5C1C">
        <w:t xml:space="preserve">для </w:t>
      </w:r>
      <w:r>
        <w:t xml:space="preserve">расчетов с </w:t>
      </w:r>
      <w:r w:rsidRPr="00FC5C1C">
        <w:t>собственник</w:t>
      </w:r>
      <w:r>
        <w:t>ами</w:t>
      </w:r>
      <w:r w:rsidRPr="00FC5C1C">
        <w:t xml:space="preserve"> помещений, не установ</w:t>
      </w:r>
      <w:r>
        <w:t>ившими</w:t>
      </w:r>
      <w:r w:rsidRPr="00FC5C1C">
        <w:t xml:space="preserve"> индивидуальны</w:t>
      </w:r>
      <w:r>
        <w:t>е</w:t>
      </w:r>
      <w:r w:rsidRPr="00FC5C1C">
        <w:t xml:space="preserve"> прибор</w:t>
      </w:r>
      <w:r>
        <w:t>ы</w:t>
      </w:r>
      <w:r w:rsidRPr="00FC5C1C">
        <w:t xml:space="preserve"> учета</w:t>
      </w:r>
      <w:r>
        <w:t xml:space="preserve"> при наличии технической возможности их установки, а также не обеспечившими своевременную замену вышедшего из строя прибора учета. Абоненты, которые не могут установить счетчик </w:t>
      </w:r>
      <w:r w:rsidRPr="00FC5C1C">
        <w:t>по техническим причинам</w:t>
      </w:r>
      <w:r>
        <w:t xml:space="preserve">, </w:t>
      </w:r>
      <w:r w:rsidRPr="00FC5C1C">
        <w:t>буд</w:t>
      </w:r>
      <w:r>
        <w:t>у</w:t>
      </w:r>
      <w:r w:rsidRPr="00FC5C1C">
        <w:t xml:space="preserve">т </w:t>
      </w:r>
      <w:proofErr w:type="gramStart"/>
      <w:r w:rsidRPr="00FC5C1C">
        <w:t>платить</w:t>
      </w:r>
      <w:proofErr w:type="gramEnd"/>
      <w:r w:rsidRPr="00FC5C1C">
        <w:t xml:space="preserve"> как и раньше</w:t>
      </w:r>
      <w:r>
        <w:t xml:space="preserve"> –</w:t>
      </w:r>
      <w:r w:rsidRPr="00FC5C1C">
        <w:t xml:space="preserve"> по</w:t>
      </w:r>
      <w:r>
        <w:t xml:space="preserve"> </w:t>
      </w:r>
      <w:r w:rsidRPr="00FC5C1C">
        <w:t xml:space="preserve">нормативу без </w:t>
      </w:r>
      <w:r>
        <w:t xml:space="preserve">повышающего </w:t>
      </w:r>
      <w:r w:rsidRPr="00FC5C1C">
        <w:t>коэффициента.</w:t>
      </w:r>
      <w:r>
        <w:t xml:space="preserve"> </w:t>
      </w:r>
    </w:p>
    <w:p w:rsidR="006D6240" w:rsidRDefault="006D6240" w:rsidP="006D6240">
      <w:pPr>
        <w:jc w:val="both"/>
      </w:pPr>
    </w:p>
    <w:p w:rsidR="006D6240" w:rsidRDefault="006D6240" w:rsidP="006D6240">
      <w:pPr>
        <w:jc w:val="both"/>
      </w:pPr>
      <w:r>
        <w:t xml:space="preserve">В платежных документах АО «Тюменская </w:t>
      </w:r>
      <w:proofErr w:type="spellStart"/>
      <w:r>
        <w:t>энергосбытовая</w:t>
      </w:r>
      <w:proofErr w:type="spellEnd"/>
      <w:r>
        <w:t xml:space="preserve"> компания» за январь 2017 года размер превышения платы с использованием повышающего коэффициента для указанной категории потребителей будет вынесен отдельной строкой, что позволит наглядно увидеть сумму переплаты. Таким образом, государство стимулирует собственников жилья к установке приборов учета и расчетам за ЖКУ по их показаниям, поскольку оплата по нормативу становится экономически невыгодной. </w:t>
      </w:r>
    </w:p>
    <w:p w:rsidR="006D6240" w:rsidRDefault="006D6240" w:rsidP="006D6240">
      <w:pPr>
        <w:jc w:val="both"/>
      </w:pPr>
    </w:p>
    <w:p w:rsidR="006D6240" w:rsidRDefault="006D6240" w:rsidP="006D6240">
      <w:pPr>
        <w:jc w:val="both"/>
      </w:pPr>
      <w:r>
        <w:t xml:space="preserve">Стоит отметить, что АО «ТЭК» уделяет серьезное внимание состоянию приборного парка своих потребителей. С января текущего года сотрудники компании возобновили проверку приборов учета потребителей на территории обслуживания. При выявлении недочетов в работе счетчика собственнику жилья дается 30 дней на устранение неисправности или замену прибора. В ином случае потребитель будет переведен на расчеты по нормативу. </w:t>
      </w:r>
    </w:p>
    <w:p w:rsidR="006D6240" w:rsidRDefault="006D6240" w:rsidP="006D6240">
      <w:pPr>
        <w:jc w:val="both"/>
      </w:pPr>
    </w:p>
    <w:p w:rsidR="005F6581" w:rsidRPr="006D6240" w:rsidRDefault="005F6581" w:rsidP="00F36AB7">
      <w:pPr>
        <w:rPr>
          <w:b/>
          <w:sz w:val="28"/>
          <w:szCs w:val="28"/>
        </w:rPr>
      </w:pPr>
    </w:p>
    <w:p w:rsidR="008C4744" w:rsidRPr="00F36AB7" w:rsidRDefault="00613D1D" w:rsidP="00F36A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6AB7" w:rsidRPr="00F36AB7">
        <w:rPr>
          <w:b/>
          <w:sz w:val="28"/>
          <w:szCs w:val="28"/>
        </w:rPr>
        <w:t xml:space="preserve">При использовании материалов АО «Тюменская </w:t>
      </w:r>
      <w:proofErr w:type="spellStart"/>
      <w:r w:rsidR="00F36AB7" w:rsidRPr="00F36AB7">
        <w:rPr>
          <w:b/>
          <w:sz w:val="28"/>
          <w:szCs w:val="28"/>
        </w:rPr>
        <w:t>энергосбытовая</w:t>
      </w:r>
      <w:proofErr w:type="spellEnd"/>
      <w:r w:rsidR="00F36AB7" w:rsidRPr="00F36AB7">
        <w:rPr>
          <w:b/>
          <w:sz w:val="28"/>
          <w:szCs w:val="28"/>
        </w:rPr>
        <w:t xml:space="preserve"> компания» ссылка на источник обязательна!</w:t>
      </w:r>
    </w:p>
    <w:sectPr w:rsidR="008C4744" w:rsidRPr="00F3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29"/>
    <w:rsid w:val="00094F44"/>
    <w:rsid w:val="001922B8"/>
    <w:rsid w:val="00296D0A"/>
    <w:rsid w:val="002E444E"/>
    <w:rsid w:val="0032167F"/>
    <w:rsid w:val="003712EE"/>
    <w:rsid w:val="00386EB5"/>
    <w:rsid w:val="003E027D"/>
    <w:rsid w:val="00582629"/>
    <w:rsid w:val="005F6581"/>
    <w:rsid w:val="00613D1D"/>
    <w:rsid w:val="006D6240"/>
    <w:rsid w:val="008715FC"/>
    <w:rsid w:val="0090586E"/>
    <w:rsid w:val="00997EE5"/>
    <w:rsid w:val="009F6D1C"/>
    <w:rsid w:val="009F7500"/>
    <w:rsid w:val="00C16D45"/>
    <w:rsid w:val="00C53A3C"/>
    <w:rsid w:val="00CC7610"/>
    <w:rsid w:val="00F334BC"/>
    <w:rsid w:val="00F3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E"/>
  </w:style>
  <w:style w:type="paragraph" w:styleId="1">
    <w:name w:val="heading 1"/>
    <w:basedOn w:val="a"/>
    <w:next w:val="a"/>
    <w:link w:val="10"/>
    <w:uiPriority w:val="9"/>
    <w:qFormat/>
    <w:rsid w:val="003712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12EE"/>
  </w:style>
  <w:style w:type="paragraph" w:customStyle="1" w:styleId="source">
    <w:name w:val="source"/>
    <w:basedOn w:val="a"/>
    <w:rsid w:val="003712E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12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12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2E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12EE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2EE"/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2EE"/>
    <w:rPr>
      <w:rFonts w:ascii="Times New Roman" w:eastAsiaTheme="minorEastAsia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2EE"/>
    <w:rPr>
      <w:rFonts w:ascii="Times New Roman" w:eastAsiaTheme="minorEastAsia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2EE"/>
    <w:rPr>
      <w:rFonts w:ascii="Times New Roman" w:eastAsiaTheme="minorEastAsia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2EE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3712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712E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12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712EE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3712EE"/>
    <w:rPr>
      <w:b/>
      <w:bCs/>
    </w:rPr>
  </w:style>
  <w:style w:type="character" w:styleId="a8">
    <w:name w:val="Emphasis"/>
    <w:basedOn w:val="a0"/>
    <w:uiPriority w:val="20"/>
    <w:qFormat/>
    <w:rsid w:val="003712EE"/>
    <w:rPr>
      <w:rFonts w:asciiTheme="minorHAnsi" w:hAnsiTheme="minorHAnsi"/>
      <w:b/>
      <w:i/>
      <w:iCs/>
    </w:rPr>
  </w:style>
  <w:style w:type="paragraph" w:styleId="a9">
    <w:name w:val="Normal (Web)"/>
    <w:basedOn w:val="a"/>
    <w:uiPriority w:val="99"/>
    <w:unhideWhenUsed/>
    <w:rsid w:val="003712E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basedOn w:val="a"/>
    <w:uiPriority w:val="1"/>
    <w:qFormat/>
    <w:rsid w:val="003712EE"/>
    <w:rPr>
      <w:szCs w:val="32"/>
    </w:rPr>
  </w:style>
  <w:style w:type="paragraph" w:styleId="ab">
    <w:name w:val="List Paragraph"/>
    <w:basedOn w:val="a"/>
    <w:uiPriority w:val="34"/>
    <w:qFormat/>
    <w:rsid w:val="003712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12EE"/>
    <w:rPr>
      <w:i/>
    </w:rPr>
  </w:style>
  <w:style w:type="character" w:customStyle="1" w:styleId="22">
    <w:name w:val="Цитата 2 Знак"/>
    <w:basedOn w:val="a0"/>
    <w:link w:val="21"/>
    <w:uiPriority w:val="29"/>
    <w:rsid w:val="003712EE"/>
    <w:rPr>
      <w:rFonts w:ascii="Times New Roman" w:eastAsiaTheme="minorEastAsia" w:hAnsi="Times New Roman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712E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712EE"/>
    <w:rPr>
      <w:rFonts w:ascii="Times New Roman" w:eastAsiaTheme="minorEastAsia" w:hAnsi="Times New Roman" w:cs="Times New Roman"/>
      <w:b/>
      <w:i/>
      <w:sz w:val="24"/>
    </w:rPr>
  </w:style>
  <w:style w:type="character" w:styleId="ae">
    <w:name w:val="Subtle Emphasis"/>
    <w:uiPriority w:val="19"/>
    <w:qFormat/>
    <w:rsid w:val="003712E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712E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712E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712E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712E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712E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F6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6D1C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9F6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E"/>
  </w:style>
  <w:style w:type="paragraph" w:styleId="1">
    <w:name w:val="heading 1"/>
    <w:basedOn w:val="a"/>
    <w:next w:val="a"/>
    <w:link w:val="10"/>
    <w:uiPriority w:val="9"/>
    <w:qFormat/>
    <w:rsid w:val="003712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12EE"/>
  </w:style>
  <w:style w:type="paragraph" w:customStyle="1" w:styleId="source">
    <w:name w:val="source"/>
    <w:basedOn w:val="a"/>
    <w:rsid w:val="003712E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12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12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2E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12EE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2EE"/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2EE"/>
    <w:rPr>
      <w:rFonts w:ascii="Times New Roman" w:eastAsiaTheme="minorEastAsia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2EE"/>
    <w:rPr>
      <w:rFonts w:ascii="Times New Roman" w:eastAsiaTheme="minorEastAsia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2EE"/>
    <w:rPr>
      <w:rFonts w:ascii="Times New Roman" w:eastAsiaTheme="minorEastAsia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2EE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3712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712E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12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712EE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3712EE"/>
    <w:rPr>
      <w:b/>
      <w:bCs/>
    </w:rPr>
  </w:style>
  <w:style w:type="character" w:styleId="a8">
    <w:name w:val="Emphasis"/>
    <w:basedOn w:val="a0"/>
    <w:uiPriority w:val="20"/>
    <w:qFormat/>
    <w:rsid w:val="003712EE"/>
    <w:rPr>
      <w:rFonts w:asciiTheme="minorHAnsi" w:hAnsiTheme="minorHAnsi"/>
      <w:b/>
      <w:i/>
      <w:iCs/>
    </w:rPr>
  </w:style>
  <w:style w:type="paragraph" w:styleId="a9">
    <w:name w:val="Normal (Web)"/>
    <w:basedOn w:val="a"/>
    <w:uiPriority w:val="99"/>
    <w:unhideWhenUsed/>
    <w:rsid w:val="003712E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basedOn w:val="a"/>
    <w:uiPriority w:val="1"/>
    <w:qFormat/>
    <w:rsid w:val="003712EE"/>
    <w:rPr>
      <w:szCs w:val="32"/>
    </w:rPr>
  </w:style>
  <w:style w:type="paragraph" w:styleId="ab">
    <w:name w:val="List Paragraph"/>
    <w:basedOn w:val="a"/>
    <w:uiPriority w:val="34"/>
    <w:qFormat/>
    <w:rsid w:val="003712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12EE"/>
    <w:rPr>
      <w:i/>
    </w:rPr>
  </w:style>
  <w:style w:type="character" w:customStyle="1" w:styleId="22">
    <w:name w:val="Цитата 2 Знак"/>
    <w:basedOn w:val="a0"/>
    <w:link w:val="21"/>
    <w:uiPriority w:val="29"/>
    <w:rsid w:val="003712EE"/>
    <w:rPr>
      <w:rFonts w:ascii="Times New Roman" w:eastAsiaTheme="minorEastAsia" w:hAnsi="Times New Roman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712E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712EE"/>
    <w:rPr>
      <w:rFonts w:ascii="Times New Roman" w:eastAsiaTheme="minorEastAsia" w:hAnsi="Times New Roman" w:cs="Times New Roman"/>
      <w:b/>
      <w:i/>
      <w:sz w:val="24"/>
    </w:rPr>
  </w:style>
  <w:style w:type="character" w:styleId="ae">
    <w:name w:val="Subtle Emphasis"/>
    <w:uiPriority w:val="19"/>
    <w:qFormat/>
    <w:rsid w:val="003712E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712E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712E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712E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712E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712E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F6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6D1C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9F6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me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Гареева Асия Раисовна</dc:creator>
  <cp:lastModifiedBy>Помаскина Неля Ивановна</cp:lastModifiedBy>
  <cp:revision>2</cp:revision>
  <dcterms:created xsi:type="dcterms:W3CDTF">2017-01-26T08:23:00Z</dcterms:created>
  <dcterms:modified xsi:type="dcterms:W3CDTF">2017-01-26T08:23:00Z</dcterms:modified>
</cp:coreProperties>
</file>